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A70555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FD4EAE">
        <w:rPr>
          <w:bCs/>
          <w:noProof w:val="0"/>
          <w:sz w:val="24"/>
          <w:szCs w:val="24"/>
        </w:rPr>
        <w:t>90</w:t>
      </w:r>
      <w:r w:rsidR="00244A05">
        <w:rPr>
          <w:bCs/>
          <w:noProof w:val="0"/>
          <w:sz w:val="24"/>
          <w:szCs w:val="24"/>
        </w:rPr>
        <w:t xml:space="preserve"> Electronic</w:t>
      </w:r>
      <w:r w:rsidRPr="00B266B0">
        <w:rPr>
          <w:bCs/>
          <w:noProof w:val="0"/>
          <w:sz w:val="24"/>
          <w:szCs w:val="24"/>
        </w:rPr>
        <w:tab/>
      </w:r>
      <w:r w:rsidR="002C4968" w:rsidRPr="002C4968">
        <w:rPr>
          <w:bCs/>
          <w:noProof w:val="0"/>
          <w:sz w:val="24"/>
          <w:szCs w:val="24"/>
        </w:rPr>
        <w:t>RP-202683</w:t>
      </w:r>
    </w:p>
    <w:p w14:paraId="11776FA6" w14:textId="513440D2" w:rsidR="00A209D6" w:rsidRPr="00465587" w:rsidRDefault="00FD4EAE"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696821">
        <w:rPr>
          <w:rFonts w:eastAsia="SimSun"/>
          <w:bCs/>
          <w:sz w:val="24"/>
          <w:szCs w:val="24"/>
          <w:lang w:eastAsia="zh-CN"/>
        </w:rPr>
        <w:t>0</w:t>
      </w:r>
      <w:r>
        <w:rPr>
          <w:rFonts w:eastAsia="SimSun"/>
          <w:bCs/>
          <w:sz w:val="24"/>
          <w:szCs w:val="24"/>
          <w:lang w:eastAsia="zh-CN"/>
        </w:rPr>
        <w:t>7</w:t>
      </w:r>
      <w:r w:rsidR="006574C0" w:rsidRPr="006574C0">
        <w:rPr>
          <w:rFonts w:eastAsia="SimSun"/>
          <w:bCs/>
          <w:sz w:val="24"/>
          <w:szCs w:val="24"/>
          <w:lang w:eastAsia="zh-CN"/>
        </w:rPr>
        <w:t xml:space="preserve"> – </w:t>
      </w:r>
      <w:r w:rsidR="00696821">
        <w:rPr>
          <w:rFonts w:eastAsia="SimSun"/>
          <w:bCs/>
          <w:sz w:val="24"/>
          <w:szCs w:val="24"/>
          <w:lang w:eastAsia="zh-CN"/>
        </w:rPr>
        <w:t>1</w:t>
      </w:r>
      <w:r>
        <w:rPr>
          <w:rFonts w:eastAsia="SimSun"/>
          <w:bCs/>
          <w:sz w:val="24"/>
          <w:szCs w:val="24"/>
          <w:lang w:eastAsia="zh-CN"/>
        </w:rPr>
        <w:t>1</w:t>
      </w:r>
      <w:r w:rsidR="006574C0" w:rsidRPr="006574C0">
        <w:rPr>
          <w:rFonts w:eastAsia="SimSun"/>
          <w:bCs/>
          <w:sz w:val="24"/>
          <w:szCs w:val="24"/>
          <w:lang w:eastAsia="zh-CN"/>
        </w:rPr>
        <w:t xml:space="preserve"> </w:t>
      </w:r>
      <w:r>
        <w:rPr>
          <w:rFonts w:eastAsia="SimSun"/>
          <w:bCs/>
          <w:sz w:val="24"/>
          <w:szCs w:val="24"/>
          <w:lang w:eastAsia="zh-CN"/>
        </w:rPr>
        <w:t>December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0E9F6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29AE">
        <w:rPr>
          <w:rFonts w:cs="Arial"/>
          <w:b/>
          <w:bCs/>
          <w:sz w:val="24"/>
          <w:lang w:eastAsia="ja-JP"/>
        </w:rPr>
        <w:t>9.6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18B06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4968">
        <w:rPr>
          <w:rFonts w:ascii="Arial" w:hAnsi="Arial" w:cs="Arial"/>
          <w:b/>
          <w:bCs/>
          <w:sz w:val="24"/>
        </w:rPr>
        <w:t xml:space="preserve">Improvements to </w:t>
      </w:r>
      <w:r w:rsidR="00FD4EAE">
        <w:rPr>
          <w:rFonts w:ascii="Arial" w:hAnsi="Arial" w:cs="Arial"/>
          <w:b/>
          <w:bCs/>
          <w:sz w:val="24"/>
        </w:rPr>
        <w:t>TEI handling</w:t>
      </w:r>
      <w:r w:rsidR="00690FD9">
        <w:rPr>
          <w:rFonts w:ascii="Arial" w:hAnsi="Arial" w:cs="Arial"/>
          <w:b/>
          <w:bCs/>
          <w:sz w:val="24"/>
        </w:rPr>
        <w:t xml:space="preserve"> in RAN</w:t>
      </w:r>
    </w:p>
    <w:p w14:paraId="1F147C23" w14:textId="065D5EE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4EA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FD4EA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3C44786" w:rsidR="007F2E08" w:rsidRPr="006E13D1" w:rsidRDefault="00FD4EAE" w:rsidP="00A209D6">
      <w:r>
        <w:t>In RAN#89e, it was agreed to attempt to improve the TEI handling practices in RAN WGs, with a post-meeting email discussion tasked to consider those. The discussion was held under the tag "[TEI traceability]", but there were only few replies to it, with 3 proposals being discussed. In this document, we attempt to consider way forward with the proposal to assess the benefits of each proposal and come to a conclusion.</w:t>
      </w:r>
    </w:p>
    <w:p w14:paraId="2BBFF540" w14:textId="3EE8FE13" w:rsidR="00A209D6" w:rsidRPr="006E13D1" w:rsidRDefault="00A209D6" w:rsidP="00A209D6">
      <w:pPr>
        <w:pStyle w:val="Heading1"/>
      </w:pPr>
      <w:r w:rsidRPr="006E13D1">
        <w:t>2</w:t>
      </w:r>
      <w:r w:rsidRPr="006E13D1">
        <w:tab/>
      </w:r>
      <w:r w:rsidR="00FD4EAE">
        <w:t>TEI traceability problems</w:t>
      </w:r>
    </w:p>
    <w:p w14:paraId="0070D638" w14:textId="38F77E7E" w:rsidR="00FD4EAE" w:rsidRDefault="00FD4EAE" w:rsidP="00A209D6">
      <w:r>
        <w:t xml:space="preserve">The problems recognized during RAN#89e discussion were mainly related to the traceability of TEI items. With </w:t>
      </w:r>
      <w:r w:rsidR="001A4213">
        <w:t xml:space="preserve">proliferation </w:t>
      </w:r>
      <w:r>
        <w:t xml:space="preserve">of TEIs, it has become difficult for implementations to untangle which CR is related to which feature: since all the TEI items share the same WI code, it is not possible to filter the TEI features via the normal mechanisms from the list of agreed CRs, requiring laborious (manual) efforts. This wastes time for all companies and increases the probability of errors for tracking CRs for corrections to a specific TEI feature. </w:t>
      </w:r>
    </w:p>
    <w:p w14:paraId="5542ACBB" w14:textId="64DD8405" w:rsidR="00AD0703" w:rsidRDefault="00AD0703" w:rsidP="00A209D6">
      <w:r w:rsidRPr="00AD0703">
        <w:rPr>
          <w:b/>
          <w:bCs/>
        </w:rPr>
        <w:t>Observation 1:</w:t>
      </w:r>
      <w:r>
        <w:t xml:space="preserve"> TEI CRs cannot be traced using the </w:t>
      </w:r>
      <w:r w:rsidR="001A4213" w:rsidRPr="00FF07D2">
        <w:rPr>
          <w:b/>
          <w:bCs/>
        </w:rPr>
        <w:t>TEIXX</w:t>
      </w:r>
      <w:r w:rsidR="001A4213">
        <w:t xml:space="preserve"> </w:t>
      </w:r>
      <w:r>
        <w:t>WI code, which creates requirement for laborious manual checking by all companies.</w:t>
      </w:r>
    </w:p>
    <w:p w14:paraId="70A967D2" w14:textId="0DA78087" w:rsidR="00FD4EAE" w:rsidRDefault="00FD4EAE" w:rsidP="00A209D6">
      <w:r>
        <w:t>A second problem is that while TEI are supposed to be contained within a single meeting cycle of a single WG of a single TSG, this is in practice sometimes difficult: For example, features introduced by RAN1 typically require UE capabilities and (at least simple) signalling to activate them, all of which are defined by RAN2. Further, in some cases RAN4 requirements, might be needed to properly test the feature, which is often overlooked by TEI proponents. Finally, RAN5 tests are typically created according to RAN2/RAN4 work and is usually not counted towards the TEI "single cycle/WG" requirement. Requiring companies to consider that would make it easier to understand whether the feature truly is something that never needs to be tested, ior whether that was simply not thought out at the inception of the feature.</w:t>
      </w:r>
    </w:p>
    <w:p w14:paraId="6465DBBF" w14:textId="02671E13" w:rsidR="00AD0703" w:rsidRDefault="00AD0703" w:rsidP="00A209D6">
      <w:r w:rsidRPr="00AD0703">
        <w:rPr>
          <w:b/>
          <w:bCs/>
        </w:rPr>
        <w:t xml:space="preserve">Observation </w:t>
      </w:r>
      <w:r>
        <w:rPr>
          <w:b/>
          <w:bCs/>
        </w:rPr>
        <w:t>2</w:t>
      </w:r>
      <w:r w:rsidRPr="00AD0703">
        <w:rPr>
          <w:b/>
          <w:bCs/>
        </w:rPr>
        <w:t>:</w:t>
      </w:r>
      <w:r>
        <w:t xml:space="preserve"> TEI proposals often don't consider the impact to other WGs, e.g. RAN4 requirements or RAN5 test case creation.</w:t>
      </w:r>
    </w:p>
    <w:p w14:paraId="4F547731" w14:textId="48F96FD5" w:rsidR="00A209D6" w:rsidRDefault="00FD4EAE" w:rsidP="00A209D6">
      <w:r>
        <w:t xml:space="preserve">Finally, </w:t>
      </w:r>
      <w:r w:rsidR="00AD0703">
        <w:t>it was noted that the TEI proposals are often not even mentioned in WG reports and thus can easily vanish as they will only be visible in the (big) list of agreed CRs. This makes it difficult to even count how many TEI proposals have been agreed in a given release, let alone understand the requirements of each (given the other traceability problems noticed for the agreed TEI CRs).</w:t>
      </w:r>
    </w:p>
    <w:p w14:paraId="24440950" w14:textId="50967974" w:rsidR="00AD0703" w:rsidRPr="006E13D1" w:rsidRDefault="00AD0703" w:rsidP="00A209D6">
      <w:r w:rsidRPr="00AD0703">
        <w:rPr>
          <w:b/>
          <w:bCs/>
        </w:rPr>
        <w:t xml:space="preserve">Observation </w:t>
      </w:r>
      <w:r>
        <w:rPr>
          <w:b/>
          <w:bCs/>
        </w:rPr>
        <w:t>3</w:t>
      </w:r>
      <w:r w:rsidRPr="00AD0703">
        <w:rPr>
          <w:b/>
          <w:bCs/>
        </w:rPr>
        <w:t>:</w:t>
      </w:r>
      <w:r>
        <w:t xml:space="preserve"> The approval of (new) TEI feature is </w:t>
      </w:r>
      <w:r w:rsidR="001A4213">
        <w:t>currently</w:t>
      </w:r>
      <w:r>
        <w:t xml:space="preserve"> not tracked within WG status reports and can only be noticed via reading all the CRs with </w:t>
      </w:r>
      <w:r w:rsidRPr="00EB696B">
        <w:rPr>
          <w:b/>
          <w:bCs/>
        </w:rPr>
        <w:t>TEIXX</w:t>
      </w:r>
      <w:r>
        <w:t xml:space="preserve"> WI code.</w:t>
      </w:r>
    </w:p>
    <w:p w14:paraId="766D6D29" w14:textId="161E7678" w:rsidR="00A209D6" w:rsidRPr="006E13D1" w:rsidRDefault="00A209D6" w:rsidP="00A209D6">
      <w:pPr>
        <w:pStyle w:val="Heading1"/>
      </w:pPr>
      <w:r w:rsidRPr="006E13D1">
        <w:t>3</w:t>
      </w:r>
      <w:r w:rsidRPr="006E13D1">
        <w:tab/>
      </w:r>
      <w:r w:rsidR="00AD0703">
        <w:t xml:space="preserve">Way forward with the TEI </w:t>
      </w:r>
      <w:r w:rsidR="00053964">
        <w:t>handling in RAN</w:t>
      </w:r>
    </w:p>
    <w:p w14:paraId="7C2B5597" w14:textId="12F27BE8" w:rsidR="00053964" w:rsidRDefault="00053964" w:rsidP="00A209D6">
      <w:r>
        <w:t>The three proposals within the email discussion addressed bul of the complaints about TEIs:</w:t>
      </w:r>
    </w:p>
    <w:p w14:paraId="6F1ED2FB" w14:textId="1059053A" w:rsidR="00053964" w:rsidRPr="006E13D1" w:rsidRDefault="00053964" w:rsidP="00053964">
      <w:pPr>
        <w:pStyle w:val="B1"/>
      </w:pPr>
      <w:r w:rsidRPr="006E13D1">
        <w:t>-</w:t>
      </w:r>
      <w:r w:rsidRPr="006E13D1">
        <w:tab/>
      </w:r>
      <w:r w:rsidR="00AB2EE9" w:rsidRPr="00AB2EE9">
        <w:rPr>
          <w:b/>
          <w:bCs/>
        </w:rPr>
        <w:t>Cross-</w:t>
      </w:r>
      <w:r w:rsidRPr="00053964">
        <w:rPr>
          <w:b/>
          <w:bCs/>
        </w:rPr>
        <w:t>WG impact analysis via CR cover:</w:t>
      </w:r>
      <w:r>
        <w:t xml:space="preserve"> Indicate cross-WG impacts of each TEI feature in the CR cover page when the TEI feature is first introduced. (=&gt; Mitigates issues noted in observation 2)</w:t>
      </w:r>
    </w:p>
    <w:p w14:paraId="0C90D1CF" w14:textId="1D23F4AE" w:rsidR="00053964" w:rsidRPr="006E13D1" w:rsidRDefault="00053964" w:rsidP="00053964">
      <w:pPr>
        <w:pStyle w:val="B1"/>
      </w:pPr>
      <w:r w:rsidRPr="006E13D1">
        <w:lastRenderedPageBreak/>
        <w:t>-</w:t>
      </w:r>
      <w:r w:rsidRPr="006E13D1">
        <w:tab/>
      </w:r>
      <w:r w:rsidRPr="00053964">
        <w:rPr>
          <w:b/>
          <w:bCs/>
        </w:rPr>
        <w:t>WG chairman's report of Cat.B/C TEI CRs to RAN:</w:t>
      </w:r>
      <w:r>
        <w:t xml:space="preserve"> The chairman status report from each WG should indicate the Cat B/C TEI CRs explicitly to allow finding all TEI features introduced in a particular RANP. This also enables each RANP to track the agreed TEIs across all WGs. (=&gt; Mitigates issues noted in observation 1)</w:t>
      </w:r>
    </w:p>
    <w:p w14:paraId="2ACDB7F6" w14:textId="462B0E9B" w:rsidR="00053964" w:rsidRPr="006E13D1" w:rsidRDefault="00053964" w:rsidP="00053964">
      <w:pPr>
        <w:pStyle w:val="B1"/>
      </w:pPr>
      <w:r w:rsidRPr="006E13D1">
        <w:t>-</w:t>
      </w:r>
      <w:r w:rsidRPr="006E13D1">
        <w:tab/>
      </w:r>
      <w:r w:rsidRPr="00053964">
        <w:rPr>
          <w:b/>
          <w:bCs/>
        </w:rPr>
        <w:t>Named TEIs:</w:t>
      </w:r>
      <w:r>
        <w:t xml:space="preserve"> When a TEI Cat B/C CR is agreed, the cover page assigns an unique "name" to it that will be used in subsequent Cat F CR titles affecting this feature. (=&gt; Mitigates issues noted in observation 3)</w:t>
      </w:r>
    </w:p>
    <w:p w14:paraId="648DA749" w14:textId="3074FD47" w:rsidR="00053964" w:rsidRDefault="00053964" w:rsidP="00A209D6">
      <w:r>
        <w:t>The common denominator among all of these is the use of cover page for reco</w:t>
      </w:r>
      <w:r w:rsidR="001A4213">
        <w:t>r</w:t>
      </w:r>
      <w:r>
        <w:t>ding information, which fits with existing procedures as the purpose of the cover page is to allow reader to determine the scope of the correction before proceeding into the details. This would fit with existing working procedures without requiring lot of additional procedures to follow.</w:t>
      </w:r>
    </w:p>
    <w:p w14:paraId="1BB3F6CB" w14:textId="252B2F40" w:rsidR="00053964" w:rsidRDefault="00053964" w:rsidP="00A209D6">
      <w:r w:rsidRPr="00053964">
        <w:rPr>
          <w:b/>
          <w:bCs/>
        </w:rPr>
        <w:t>Observation 4:</w:t>
      </w:r>
      <w:r>
        <w:t xml:space="preserve"> All the proposals discussed during post-RAN#89e email discussion consider (some) improvements to the cover page.</w:t>
      </w:r>
    </w:p>
    <w:p w14:paraId="04C062E6" w14:textId="5C1CBE02" w:rsidR="00053964" w:rsidRDefault="00053964" w:rsidP="00A209D6">
      <w:r>
        <w:t>Further, the proposals are almost fully complementary to each other, i.e. each one provides something that the other proposals don't.</w:t>
      </w:r>
    </w:p>
    <w:p w14:paraId="53CF9B61" w14:textId="1BF34FA1" w:rsidR="00053964" w:rsidRDefault="00053964" w:rsidP="00053964">
      <w:r w:rsidRPr="00053964">
        <w:rPr>
          <w:b/>
          <w:bCs/>
        </w:rPr>
        <w:t xml:space="preserve">Observation </w:t>
      </w:r>
      <w:r>
        <w:rPr>
          <w:b/>
          <w:bCs/>
        </w:rPr>
        <w:t>5</w:t>
      </w:r>
      <w:r w:rsidRPr="00053964">
        <w:rPr>
          <w:b/>
          <w:bCs/>
        </w:rPr>
        <w:t>:</w:t>
      </w:r>
      <w:r>
        <w:t xml:space="preserve"> The proposals discussed during post-RAN#89e email discussion are complementary and can work together.</w:t>
      </w:r>
    </w:p>
    <w:p w14:paraId="2934399C" w14:textId="184D5327" w:rsidR="00053964" w:rsidRDefault="00053964" w:rsidP="00A209D6">
      <w:r>
        <w:t>During the 2</w:t>
      </w:r>
      <w:r w:rsidRPr="00053964">
        <w:rPr>
          <w:vertAlign w:val="superscript"/>
        </w:rPr>
        <w:t>nd</w:t>
      </w:r>
      <w:r>
        <w:t xml:space="preserve"> phase, it was also discussed that there were some specific aspects that would require further clarifications. However, it seemed like these clarifications were all feasible to do, so it would seem possible to consider all the proposals as improvements since they address different problems.</w:t>
      </w:r>
    </w:p>
    <w:p w14:paraId="0BABF884" w14:textId="70D5A461" w:rsidR="00053964" w:rsidRDefault="00053964" w:rsidP="00A209D6">
      <w:r w:rsidRPr="00053964">
        <w:rPr>
          <w:b/>
          <w:bCs/>
        </w:rPr>
        <w:t xml:space="preserve">Proposal 1: </w:t>
      </w:r>
      <w:r>
        <w:t xml:space="preserve">Adopt all </w:t>
      </w:r>
      <w:r w:rsidR="00AB2EE9">
        <w:t>three</w:t>
      </w:r>
      <w:r>
        <w:t xml:space="preserve"> proposals </w:t>
      </w:r>
      <w:r w:rsidR="00AB2EE9">
        <w:t xml:space="preserve">(i.e. cross-WG impact analysis, TEI list in chairman report, TEI naming) </w:t>
      </w:r>
      <w:r>
        <w:t>from the email discussion for improving TEI handling practices in RAN WGs.</w:t>
      </w:r>
    </w:p>
    <w:p w14:paraId="5FF2457F" w14:textId="11A84A2C" w:rsidR="00A209D6" w:rsidRPr="006E13D1" w:rsidRDefault="00A209D6" w:rsidP="00A209D6">
      <w:pPr>
        <w:pStyle w:val="Heading1"/>
      </w:pPr>
      <w:r w:rsidRPr="006E13D1">
        <w:t>4</w:t>
      </w:r>
      <w:r w:rsidRPr="006E13D1">
        <w:tab/>
      </w:r>
      <w:r w:rsidR="008C3057">
        <w:t>Conclusion</w:t>
      </w:r>
    </w:p>
    <w:p w14:paraId="6C60FFDC" w14:textId="46880A85" w:rsidR="00A209D6" w:rsidRPr="006E13D1" w:rsidRDefault="00053964" w:rsidP="00A209D6">
      <w:r>
        <w:t xml:space="preserve">We have </w:t>
      </w:r>
      <w:r w:rsidR="0037031A">
        <w:t>discusssed</w:t>
      </w:r>
      <w:r>
        <w:t xml:space="preserve"> the improvements to RAN </w:t>
      </w:r>
      <w:r w:rsidR="0037031A">
        <w:t>TEI</w:t>
      </w:r>
      <w:r>
        <w:t xml:space="preserve"> handling, wtih the following observations and proposals:</w:t>
      </w:r>
    </w:p>
    <w:p w14:paraId="64D46C33" w14:textId="3D434FA3" w:rsidR="00053964" w:rsidRDefault="00053964" w:rsidP="00053964">
      <w:r w:rsidRPr="00AD0703">
        <w:rPr>
          <w:b/>
          <w:bCs/>
        </w:rPr>
        <w:t>Observation 1:</w:t>
      </w:r>
      <w:r>
        <w:t xml:space="preserve"> TEI CRs cannot be traced using the </w:t>
      </w:r>
      <w:r w:rsidR="001A4213" w:rsidRPr="00B73CDE">
        <w:rPr>
          <w:b/>
          <w:bCs/>
        </w:rPr>
        <w:t>TEIXX</w:t>
      </w:r>
      <w:r w:rsidR="001A4213">
        <w:t xml:space="preserve"> </w:t>
      </w:r>
      <w:r>
        <w:t>WI code, which creates requirement for laborious manual checking by all companies.</w:t>
      </w:r>
      <w:bookmarkStart w:id="0" w:name="_GoBack"/>
      <w:bookmarkEnd w:id="0"/>
    </w:p>
    <w:p w14:paraId="4447DD22" w14:textId="77777777" w:rsidR="00053964" w:rsidRDefault="00053964" w:rsidP="00053964">
      <w:r w:rsidRPr="00AD0703">
        <w:rPr>
          <w:b/>
          <w:bCs/>
        </w:rPr>
        <w:t xml:space="preserve">Observation </w:t>
      </w:r>
      <w:r>
        <w:rPr>
          <w:b/>
          <w:bCs/>
        </w:rPr>
        <w:t>2</w:t>
      </w:r>
      <w:r w:rsidRPr="00AD0703">
        <w:rPr>
          <w:b/>
          <w:bCs/>
        </w:rPr>
        <w:t>:</w:t>
      </w:r>
      <w:r>
        <w:t xml:space="preserve"> TEI proposals often don't consider the impact to other WGs, e.g. RAN4 requirements or RAN5 test case creation.</w:t>
      </w:r>
    </w:p>
    <w:p w14:paraId="13FB3DD1" w14:textId="332C966F" w:rsidR="00053964" w:rsidRPr="006E13D1" w:rsidRDefault="00053964" w:rsidP="00053964">
      <w:r w:rsidRPr="00AD0703">
        <w:rPr>
          <w:b/>
          <w:bCs/>
        </w:rPr>
        <w:t xml:space="preserve">Observation </w:t>
      </w:r>
      <w:r>
        <w:rPr>
          <w:b/>
          <w:bCs/>
        </w:rPr>
        <w:t>3</w:t>
      </w:r>
      <w:r w:rsidRPr="00AD0703">
        <w:rPr>
          <w:b/>
          <w:bCs/>
        </w:rPr>
        <w:t>:</w:t>
      </w:r>
      <w:r>
        <w:t xml:space="preserve"> The approval of (new) TEI feature is curently not tracked within WG status reports and can only be noticed via reading all the CRs with </w:t>
      </w:r>
      <w:r w:rsidRPr="00EB696B">
        <w:rPr>
          <w:b/>
          <w:bCs/>
        </w:rPr>
        <w:t>TEIXX</w:t>
      </w:r>
      <w:r>
        <w:t xml:space="preserve"> WI code.</w:t>
      </w:r>
    </w:p>
    <w:p w14:paraId="287F33F3" w14:textId="77777777" w:rsidR="00053964" w:rsidRDefault="00053964" w:rsidP="00053964">
      <w:r w:rsidRPr="00053964">
        <w:rPr>
          <w:b/>
          <w:bCs/>
        </w:rPr>
        <w:t>Observation 4:</w:t>
      </w:r>
      <w:r>
        <w:t xml:space="preserve"> All the proposals discussed during post-RAN#89e email discussion consider (some) improvements to the cover page.</w:t>
      </w:r>
    </w:p>
    <w:p w14:paraId="32F8AD85" w14:textId="77777777" w:rsidR="00053964" w:rsidRDefault="00053964" w:rsidP="00053964">
      <w:r w:rsidRPr="00053964">
        <w:rPr>
          <w:b/>
          <w:bCs/>
        </w:rPr>
        <w:t xml:space="preserve">Observation </w:t>
      </w:r>
      <w:r>
        <w:rPr>
          <w:b/>
          <w:bCs/>
        </w:rPr>
        <w:t>5</w:t>
      </w:r>
      <w:r w:rsidRPr="00053964">
        <w:rPr>
          <w:b/>
          <w:bCs/>
        </w:rPr>
        <w:t>:</w:t>
      </w:r>
      <w:r>
        <w:t xml:space="preserve"> The proposals discussed during post-RAN#89e email discussion are complementary and can work together.</w:t>
      </w:r>
    </w:p>
    <w:p w14:paraId="698E5F6F" w14:textId="77777777" w:rsidR="00AB2EE9" w:rsidRDefault="00AB2EE9" w:rsidP="00AB2EE9">
      <w:r w:rsidRPr="00053964">
        <w:rPr>
          <w:b/>
          <w:bCs/>
        </w:rPr>
        <w:t xml:space="preserve">Proposal 1: </w:t>
      </w:r>
      <w:r>
        <w:t>Adopt all three proposals (i.e. cross-WG impact analysis, TEI list in chairman report, TEI naming) from the email discussion for improving TEI handling practices in RAN WGs.</w:t>
      </w:r>
    </w:p>
    <w:p w14:paraId="432B0A82" w14:textId="77777777" w:rsidR="00A209D6" w:rsidRDefault="00A209D6" w:rsidP="00A209D6"/>
    <w:sectPr w:rsid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4C7F" w14:textId="77777777" w:rsidR="000127F2" w:rsidRDefault="000127F2">
      <w:r>
        <w:separator/>
      </w:r>
    </w:p>
  </w:endnote>
  <w:endnote w:type="continuationSeparator" w:id="0">
    <w:p w14:paraId="77BC9468" w14:textId="77777777" w:rsidR="000127F2" w:rsidRDefault="000127F2">
      <w:r>
        <w:continuationSeparator/>
      </w:r>
    </w:p>
  </w:endnote>
  <w:endnote w:type="continuationNotice" w:id="1">
    <w:p w14:paraId="5AFB6ACF" w14:textId="77777777" w:rsidR="000127F2" w:rsidRDefault="00012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FA780" w14:textId="77777777" w:rsidR="000127F2" w:rsidRDefault="000127F2">
      <w:r>
        <w:separator/>
      </w:r>
    </w:p>
  </w:footnote>
  <w:footnote w:type="continuationSeparator" w:id="0">
    <w:p w14:paraId="7CB19168" w14:textId="77777777" w:rsidR="000127F2" w:rsidRDefault="000127F2">
      <w:r>
        <w:continuationSeparator/>
      </w:r>
    </w:p>
  </w:footnote>
  <w:footnote w:type="continuationNotice" w:id="1">
    <w:p w14:paraId="5E9E0C93" w14:textId="77777777" w:rsidR="000127F2" w:rsidRDefault="000127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7F2"/>
    <w:rsid w:val="00016557"/>
    <w:rsid w:val="00023C40"/>
    <w:rsid w:val="00033397"/>
    <w:rsid w:val="00040095"/>
    <w:rsid w:val="00043BB9"/>
    <w:rsid w:val="00053964"/>
    <w:rsid w:val="00073C9C"/>
    <w:rsid w:val="00080512"/>
    <w:rsid w:val="0008320C"/>
    <w:rsid w:val="00090468"/>
    <w:rsid w:val="00094568"/>
    <w:rsid w:val="000B7BCF"/>
    <w:rsid w:val="000C522B"/>
    <w:rsid w:val="000D58AB"/>
    <w:rsid w:val="000F2C37"/>
    <w:rsid w:val="00103A00"/>
    <w:rsid w:val="00112F1A"/>
    <w:rsid w:val="00145075"/>
    <w:rsid w:val="001741A0"/>
    <w:rsid w:val="00175FA0"/>
    <w:rsid w:val="00194CD0"/>
    <w:rsid w:val="001A4213"/>
    <w:rsid w:val="001A43D7"/>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C4968"/>
    <w:rsid w:val="002F0D22"/>
    <w:rsid w:val="002F7075"/>
    <w:rsid w:val="00311B17"/>
    <w:rsid w:val="003172DC"/>
    <w:rsid w:val="00325AE3"/>
    <w:rsid w:val="00326069"/>
    <w:rsid w:val="0035462D"/>
    <w:rsid w:val="0036459E"/>
    <w:rsid w:val="00364B41"/>
    <w:rsid w:val="0037031A"/>
    <w:rsid w:val="00383096"/>
    <w:rsid w:val="0039346C"/>
    <w:rsid w:val="003A41EF"/>
    <w:rsid w:val="003B40AD"/>
    <w:rsid w:val="003C4E37"/>
    <w:rsid w:val="003E16BE"/>
    <w:rsid w:val="003F4E28"/>
    <w:rsid w:val="004006E8"/>
    <w:rsid w:val="00401855"/>
    <w:rsid w:val="00465587"/>
    <w:rsid w:val="00477455"/>
    <w:rsid w:val="00494C93"/>
    <w:rsid w:val="004A1F7B"/>
    <w:rsid w:val="004B29AE"/>
    <w:rsid w:val="004C44D2"/>
    <w:rsid w:val="004D3578"/>
    <w:rsid w:val="004D380D"/>
    <w:rsid w:val="004E213A"/>
    <w:rsid w:val="00503171"/>
    <w:rsid w:val="00506C28"/>
    <w:rsid w:val="00534DA0"/>
    <w:rsid w:val="00543E6C"/>
    <w:rsid w:val="0055061C"/>
    <w:rsid w:val="00565087"/>
    <w:rsid w:val="0056573F"/>
    <w:rsid w:val="00571279"/>
    <w:rsid w:val="005A49C6"/>
    <w:rsid w:val="00611566"/>
    <w:rsid w:val="00622DFB"/>
    <w:rsid w:val="00646D99"/>
    <w:rsid w:val="00656910"/>
    <w:rsid w:val="006574C0"/>
    <w:rsid w:val="00690FD9"/>
    <w:rsid w:val="00696759"/>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55B8D"/>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53724"/>
    <w:rsid w:val="00A54B2B"/>
    <w:rsid w:val="00A82346"/>
    <w:rsid w:val="00A9671C"/>
    <w:rsid w:val="00AA1553"/>
    <w:rsid w:val="00AB2EE9"/>
    <w:rsid w:val="00AD0703"/>
    <w:rsid w:val="00AE7061"/>
    <w:rsid w:val="00B05380"/>
    <w:rsid w:val="00B05962"/>
    <w:rsid w:val="00B15449"/>
    <w:rsid w:val="00B16C2F"/>
    <w:rsid w:val="00B27303"/>
    <w:rsid w:val="00B47FD1"/>
    <w:rsid w:val="00B516BB"/>
    <w:rsid w:val="00B73CDE"/>
    <w:rsid w:val="00B84DB2"/>
    <w:rsid w:val="00BC3555"/>
    <w:rsid w:val="00C12B51"/>
    <w:rsid w:val="00C24650"/>
    <w:rsid w:val="00C25465"/>
    <w:rsid w:val="00C33079"/>
    <w:rsid w:val="00C6553E"/>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B696B"/>
    <w:rsid w:val="00EC4A25"/>
    <w:rsid w:val="00EF612C"/>
    <w:rsid w:val="00F025A2"/>
    <w:rsid w:val="00F036E9"/>
    <w:rsid w:val="00F07388"/>
    <w:rsid w:val="00F2026E"/>
    <w:rsid w:val="00F2210A"/>
    <w:rsid w:val="00F37743"/>
    <w:rsid w:val="00F54A3D"/>
    <w:rsid w:val="00F54CB0"/>
    <w:rsid w:val="00F579CD"/>
    <w:rsid w:val="00F653B8"/>
    <w:rsid w:val="00F66930"/>
    <w:rsid w:val="00F71B89"/>
    <w:rsid w:val="00F7353C"/>
    <w:rsid w:val="00F76F8F"/>
    <w:rsid w:val="00F941DF"/>
    <w:rsid w:val="00FA1266"/>
    <w:rsid w:val="00FB36FA"/>
    <w:rsid w:val="00FC1192"/>
    <w:rsid w:val="00FD4EAE"/>
    <w:rsid w:val="00FE251B"/>
    <w:rsid w:val="00FF0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link w:val="Heading2"/>
    <w:rsid w:val="0037031A"/>
    <w:rPr>
      <w:rFonts w:ascii="Arial" w:hAnsi="Arial"/>
      <w:sz w:val="32"/>
      <w:lang w:eastAsia="en-US"/>
    </w:rPr>
  </w:style>
  <w:style w:type="character" w:customStyle="1" w:styleId="B1Char">
    <w:name w:val="B1 Char"/>
    <w:link w:val="B1"/>
    <w:rsid w:val="0037031A"/>
    <w:rPr>
      <w:lang w:eastAsia="en-US"/>
    </w:rPr>
  </w:style>
  <w:style w:type="character" w:styleId="CommentReference">
    <w:name w:val="annotation reference"/>
    <w:basedOn w:val="DefaultParagraphFont"/>
    <w:rsid w:val="0037031A"/>
    <w:rPr>
      <w:sz w:val="16"/>
      <w:szCs w:val="16"/>
    </w:rPr>
  </w:style>
  <w:style w:type="paragraph" w:styleId="CommentText">
    <w:name w:val="annotation text"/>
    <w:basedOn w:val="Normal"/>
    <w:link w:val="CommentTextChar"/>
    <w:rsid w:val="0037031A"/>
  </w:style>
  <w:style w:type="character" w:customStyle="1" w:styleId="CommentTextChar">
    <w:name w:val="Comment Text Char"/>
    <w:basedOn w:val="DefaultParagraphFont"/>
    <w:link w:val="CommentText"/>
    <w:rsid w:val="0037031A"/>
    <w:rPr>
      <w:lang w:eastAsia="en-US"/>
    </w:rPr>
  </w:style>
  <w:style w:type="paragraph" w:styleId="CommentSubject">
    <w:name w:val="annotation subject"/>
    <w:basedOn w:val="CommentText"/>
    <w:next w:val="CommentText"/>
    <w:link w:val="CommentSubjectChar"/>
    <w:rsid w:val="0037031A"/>
    <w:rPr>
      <w:b/>
      <w:bCs/>
    </w:rPr>
  </w:style>
  <w:style w:type="character" w:customStyle="1" w:styleId="CommentSubjectChar">
    <w:name w:val="Comment Subject Char"/>
    <w:basedOn w:val="CommentTextChar"/>
    <w:link w:val="CommentSubject"/>
    <w:rsid w:val="0037031A"/>
    <w:rPr>
      <w:b/>
      <w:bCs/>
      <w:lang w:eastAsia="en-US"/>
    </w:rPr>
  </w:style>
  <w:style w:type="character" w:customStyle="1" w:styleId="Heading3Char">
    <w:name w:val="Heading 3 Char"/>
    <w:link w:val="Heading3"/>
    <w:rsid w:val="00494C93"/>
    <w:rPr>
      <w:rFonts w:ascii="Arial" w:hAnsi="Arial"/>
      <w:sz w:val="28"/>
      <w:lang w:eastAsia="en-US"/>
    </w:rPr>
  </w:style>
  <w:style w:type="paragraph" w:styleId="Revision">
    <w:name w:val="Revision"/>
    <w:hidden/>
    <w:uiPriority w:val="99"/>
    <w:semiHidden/>
    <w:rsid w:val="001A42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5AIRPNAIUNRU-1916262822-990</_dlc_DocId>
    <_dlc_DocIdUrl xmlns="71c5aaf6-e6ce-465b-b873-5148d2a4c105">
      <Url>https://nokia.sharepoint.com/sites/c5g/_layouts/15/DocIdRedir.aspx?ID=5AIRPNAIUNRU-1916262822-990</Url>
      <Description>5AIRPNAIUNRU-1916262822-990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6F851FA-C84E-473B-BE70-01413272E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BFB24F1-DF30-4240-BFEE-2DBC044C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Nokia,NSB,LG,Eri,Sam,App,Len,MotM</cp:lastModifiedBy>
  <cp:revision>3</cp:revision>
  <dcterms:created xsi:type="dcterms:W3CDTF">2020-11-30T18:02:00Z</dcterms:created>
  <dcterms:modified xsi:type="dcterms:W3CDTF">2020-11-30T18:03:00Z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adc446f8-9142-4fb2-a7f2-27d11be8beea</vt:lpwstr>
  </property>
</Properties>
</file>